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4A1B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"/>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1A640FF9" w:rsidR="004D4723" w:rsidRPr="00DF7C48" w:rsidRDefault="00036165" w:rsidP="005A4D7B">
            <w:pPr>
              <w:pStyle w:val="MHHSBody"/>
              <w:rPr>
                <w:rFonts w:cstheme="minorHAnsi"/>
                <w:i/>
                <w:iCs/>
                <w:color w:val="808080" w:themeColor="background1" w:themeShade="80"/>
                <w:szCs w:val="20"/>
              </w:rPr>
            </w:pPr>
            <w:r>
              <w:rPr>
                <w:rFonts w:cstheme="minorHAnsi"/>
                <w:i/>
                <w:iCs/>
                <w:color w:val="808080" w:themeColor="background1" w:themeShade="80"/>
                <w:szCs w:val="20"/>
              </w:rPr>
              <w:t>ISD Publication Frequency Change</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2F790D32" w:rsidR="004D4723" w:rsidRPr="00DF7C48" w:rsidRDefault="002076EC" w:rsidP="005A4D7B">
            <w:pPr>
              <w:pStyle w:val="MHHSBody"/>
              <w:rPr>
                <w:rFonts w:cstheme="minorHAnsi"/>
                <w:i/>
                <w:iCs/>
                <w:szCs w:val="20"/>
              </w:rPr>
            </w:pPr>
            <w:r>
              <w:rPr>
                <w:rFonts w:cstheme="minorHAnsi"/>
                <w:i/>
                <w:iCs/>
                <w:szCs w:val="20"/>
              </w:rPr>
              <w:t>CR053</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481FAF15" w:rsidR="004D4723" w:rsidRPr="00DF7C48" w:rsidRDefault="002076EC" w:rsidP="005A4D7B">
            <w:pPr>
              <w:pStyle w:val="MHHSBody"/>
              <w:rPr>
                <w:rFonts w:cstheme="minorHAnsi"/>
                <w:i/>
                <w:iCs/>
                <w:szCs w:val="20"/>
              </w:rPr>
            </w:pPr>
            <w:r>
              <w:rPr>
                <w:rFonts w:cstheme="minorHAnsi"/>
                <w:i/>
                <w:iCs/>
                <w:szCs w:val="20"/>
              </w:rPr>
              <w:t xml:space="preserve">Service Activation Working Group </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02ADEBE9" w:rsidR="004D4723" w:rsidRPr="00DF7C48" w:rsidRDefault="004D4723" w:rsidP="005A4D7B">
            <w:pPr>
              <w:pStyle w:val="MHHSBody"/>
              <w:rPr>
                <w:rFonts w:cstheme="minorHAnsi"/>
                <w:i/>
                <w:iCs/>
                <w:szCs w:val="20"/>
              </w:rPr>
            </w:pP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41A8AF45" w:rsidR="004D4723" w:rsidRPr="00DF7C48" w:rsidRDefault="00036165" w:rsidP="005A4D7B">
            <w:pPr>
              <w:pStyle w:val="MHHSBody"/>
              <w:rPr>
                <w:rFonts w:cstheme="minorHAnsi"/>
                <w:i/>
                <w:iCs/>
                <w:szCs w:val="20"/>
              </w:rPr>
            </w:pPr>
            <w:r>
              <w:rPr>
                <w:rFonts w:cstheme="minorHAnsi"/>
                <w:i/>
                <w:iCs/>
                <w:szCs w:val="20"/>
              </w:rPr>
              <w:t>Ian Smith</w:t>
            </w:r>
          </w:p>
        </w:tc>
        <w:tc>
          <w:tcPr>
            <w:tcW w:w="1417" w:type="dxa"/>
            <w:tcBorders>
              <w:left w:val="single" w:sz="4" w:space="0" w:color="auto"/>
              <w:right w:val="single" w:sz="4" w:space="0" w:color="auto"/>
            </w:tcBorders>
          </w:tcPr>
          <w:p w14:paraId="313F282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1FFFEFC7" w:rsidR="00393377" w:rsidRPr="00DF7C48" w:rsidRDefault="002076EC" w:rsidP="005A4D7B">
            <w:pPr>
              <w:pStyle w:val="MHHSBody"/>
              <w:rPr>
                <w:rFonts w:cstheme="minorHAnsi"/>
                <w:i/>
                <w:iCs/>
                <w:szCs w:val="20"/>
              </w:rPr>
            </w:pPr>
            <w:r>
              <w:rPr>
                <w:rFonts w:cstheme="minorHAnsi"/>
                <w:i/>
                <w:iCs/>
                <w:szCs w:val="20"/>
              </w:rPr>
              <w:t>24</w:t>
            </w:r>
            <w:r w:rsidR="00036165">
              <w:rPr>
                <w:rFonts w:cstheme="minorHAnsi"/>
                <w:i/>
                <w:iCs/>
                <w:szCs w:val="20"/>
              </w:rPr>
              <w:t>/06/2024</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404"/>
        <w:gridCol w:w="5596"/>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32385BC5" w14:textId="77777777" w:rsidR="002076EC" w:rsidRDefault="002076EC" w:rsidP="00BA4845">
            <w:pPr>
              <w:pStyle w:val="MHHSBody"/>
              <w:spacing w:after="20" w:line="0" w:lineRule="atLeast"/>
              <w:rPr>
                <w:i/>
                <w:iCs/>
                <w:sz w:val="16"/>
                <w:szCs w:val="16"/>
              </w:rPr>
            </w:pPr>
          </w:p>
          <w:p w14:paraId="6D55BDF5" w14:textId="4D63D748" w:rsidR="00B0254B" w:rsidRDefault="00036165" w:rsidP="00BA4845">
            <w:pPr>
              <w:pStyle w:val="MHHSBody"/>
              <w:spacing w:after="20" w:line="0" w:lineRule="atLeast"/>
              <w:rPr>
                <w:szCs w:val="20"/>
              </w:rPr>
            </w:pPr>
            <w:r>
              <w:rPr>
                <w:szCs w:val="20"/>
              </w:rPr>
              <w:t xml:space="preserve">There is a set of activities that must be undertaken following a party’s qualification prior to that party being able to become active in the MHHS arrangements. To protect migration timescales this process should be as short as possible to allow parties to commence migration as soon as possible. One key element of this activity is the publication of ISD following a party’s qualification. </w:t>
            </w:r>
            <w:r w:rsidR="003B1804">
              <w:rPr>
                <w:szCs w:val="20"/>
              </w:rPr>
              <w:t>Currently the publication frequency is monthly which may cause delays if the timing of qualification falls shortly after an ISD publication.</w:t>
            </w:r>
          </w:p>
          <w:p w14:paraId="04B29CB0" w14:textId="02D43301" w:rsidR="00036165" w:rsidRDefault="00036165" w:rsidP="00BA4845">
            <w:pPr>
              <w:pStyle w:val="MHHSBody"/>
              <w:spacing w:after="20" w:line="0" w:lineRule="atLeast"/>
              <w:rPr>
                <w:szCs w:val="20"/>
              </w:rPr>
            </w:pPr>
          </w:p>
          <w:p w14:paraId="029A71F8" w14:textId="4F7241DE" w:rsidR="00036165" w:rsidRPr="00E50124" w:rsidRDefault="00036165" w:rsidP="00BA4845">
            <w:pPr>
              <w:pStyle w:val="MHHSBody"/>
              <w:spacing w:after="20" w:line="0" w:lineRule="atLeast"/>
              <w:rPr>
                <w:sz w:val="16"/>
                <w:szCs w:val="16"/>
              </w:rPr>
            </w:pP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69036C77" w:rsidR="002855CB" w:rsidRDefault="002855CB" w:rsidP="00BA4845">
            <w:pPr>
              <w:pStyle w:val="MHHSBody"/>
              <w:spacing w:after="20" w:line="0" w:lineRule="atLeast"/>
              <w:rPr>
                <w:i/>
                <w:iCs/>
                <w:sz w:val="16"/>
                <w:szCs w:val="16"/>
              </w:rPr>
            </w:pPr>
            <w:r w:rsidRPr="002855CB">
              <w:rPr>
                <w:i/>
                <w:iCs/>
                <w:sz w:val="16"/>
                <w:szCs w:val="16"/>
              </w:rPr>
              <w:t>(</w:t>
            </w:r>
            <w:r>
              <w:rPr>
                <w:i/>
                <w:iCs/>
                <w:sz w:val="16"/>
                <w:szCs w:val="16"/>
              </w:rPr>
              <w:t>what is</w:t>
            </w:r>
            <w:r w:rsidR="00AD3286">
              <w:rPr>
                <w:i/>
                <w:iCs/>
                <w:sz w:val="16"/>
                <w:szCs w:val="16"/>
              </w:rPr>
              <w:t xml:space="preserve"> the change you are proposing)</w:t>
            </w:r>
          </w:p>
          <w:p w14:paraId="436505E5" w14:textId="75A85D2C" w:rsidR="003B1804" w:rsidRDefault="003B1804" w:rsidP="00BA4845">
            <w:pPr>
              <w:pStyle w:val="MHHSBody"/>
              <w:spacing w:after="20" w:line="0" w:lineRule="atLeast"/>
              <w:rPr>
                <w:i/>
                <w:iCs/>
                <w:sz w:val="16"/>
                <w:szCs w:val="16"/>
              </w:rPr>
            </w:pPr>
          </w:p>
          <w:p w14:paraId="570B544C" w14:textId="06909268" w:rsidR="003B1804" w:rsidRDefault="003B1804" w:rsidP="00BA4845">
            <w:pPr>
              <w:pStyle w:val="MHHSBody"/>
              <w:spacing w:after="20" w:line="0" w:lineRule="atLeast"/>
              <w:rPr>
                <w:szCs w:val="20"/>
              </w:rPr>
            </w:pPr>
            <w:r w:rsidRPr="002076EC">
              <w:rPr>
                <w:szCs w:val="20"/>
              </w:rPr>
              <w:t>The requirement governing frequency are as follows:</w:t>
            </w:r>
          </w:p>
          <w:p w14:paraId="2DA29026" w14:textId="77777777" w:rsidR="002076EC" w:rsidRPr="002076EC" w:rsidRDefault="002076EC" w:rsidP="00BA4845">
            <w:pPr>
              <w:pStyle w:val="MHHSBody"/>
              <w:spacing w:after="20" w:line="0" w:lineRule="atLeast"/>
              <w:rPr>
                <w:szCs w:val="20"/>
              </w:rPr>
            </w:pPr>
          </w:p>
          <w:tbl>
            <w:tblPr>
              <w:tblW w:w="10784" w:type="dxa"/>
              <w:tblLook w:val="04A0" w:firstRow="1" w:lastRow="0" w:firstColumn="1" w:lastColumn="0" w:noHBand="0" w:noVBand="1"/>
            </w:tblPr>
            <w:tblGrid>
              <w:gridCol w:w="1380"/>
              <w:gridCol w:w="16"/>
              <w:gridCol w:w="1104"/>
              <w:gridCol w:w="32"/>
              <w:gridCol w:w="3808"/>
              <w:gridCol w:w="48"/>
              <w:gridCol w:w="4332"/>
              <w:gridCol w:w="64"/>
            </w:tblGrid>
            <w:tr w:rsidR="003B1804" w:rsidRPr="003B1804" w14:paraId="46787746" w14:textId="77777777" w:rsidTr="003B1804">
              <w:trPr>
                <w:trHeight w:val="290"/>
              </w:trPr>
              <w:tc>
                <w:tcPr>
                  <w:tcW w:w="1396" w:type="dxa"/>
                  <w:gridSpan w:val="2"/>
                  <w:tcBorders>
                    <w:top w:val="nil"/>
                    <w:left w:val="nil"/>
                    <w:bottom w:val="nil"/>
                    <w:right w:val="nil"/>
                  </w:tcBorders>
                  <w:shd w:val="clear" w:color="000000" w:fill="D9D9D9"/>
                  <w:noWrap/>
                  <w:vAlign w:val="bottom"/>
                  <w:hideMark/>
                </w:tcPr>
                <w:p w14:paraId="3F113213" w14:textId="77777777" w:rsidR="003B1804" w:rsidRPr="003B1804" w:rsidRDefault="003B1804" w:rsidP="003B1804">
                  <w:pPr>
                    <w:spacing w:after="0" w:line="240" w:lineRule="auto"/>
                    <w:rPr>
                      <w:rFonts w:ascii="Calibri" w:eastAsia="Times New Roman" w:hAnsi="Calibri" w:cs="Calibri"/>
                      <w:b/>
                      <w:bCs/>
                      <w:sz w:val="22"/>
                      <w:lang w:eastAsia="en-GB"/>
                    </w:rPr>
                  </w:pPr>
                  <w:r w:rsidRPr="003B1804">
                    <w:rPr>
                      <w:rFonts w:ascii="Calibri" w:eastAsia="Times New Roman" w:hAnsi="Calibri" w:cs="Calibri"/>
                      <w:b/>
                      <w:bCs/>
                      <w:sz w:val="22"/>
                      <w:lang w:eastAsia="en-GB"/>
                    </w:rPr>
                    <w:t>Reference</w:t>
                  </w:r>
                </w:p>
              </w:tc>
              <w:tc>
                <w:tcPr>
                  <w:tcW w:w="1136" w:type="dxa"/>
                  <w:gridSpan w:val="2"/>
                  <w:tcBorders>
                    <w:top w:val="nil"/>
                    <w:left w:val="nil"/>
                    <w:bottom w:val="nil"/>
                    <w:right w:val="nil"/>
                  </w:tcBorders>
                  <w:shd w:val="clear" w:color="000000" w:fill="D9D9D9"/>
                  <w:noWrap/>
                  <w:vAlign w:val="bottom"/>
                  <w:hideMark/>
                </w:tcPr>
                <w:p w14:paraId="11BAE12A" w14:textId="77777777" w:rsidR="003B1804" w:rsidRPr="003B1804" w:rsidRDefault="003B1804" w:rsidP="003B1804">
                  <w:pPr>
                    <w:spacing w:after="0" w:line="240" w:lineRule="auto"/>
                    <w:rPr>
                      <w:rFonts w:ascii="Calibri" w:eastAsia="Times New Roman" w:hAnsi="Calibri" w:cs="Calibri"/>
                      <w:b/>
                      <w:bCs/>
                      <w:sz w:val="22"/>
                      <w:lang w:eastAsia="en-GB"/>
                    </w:rPr>
                  </w:pPr>
                  <w:r w:rsidRPr="003B1804">
                    <w:rPr>
                      <w:rFonts w:ascii="Calibri" w:eastAsia="Times New Roman" w:hAnsi="Calibri" w:cs="Calibri"/>
                      <w:b/>
                      <w:bCs/>
                      <w:sz w:val="22"/>
                      <w:lang w:eastAsia="en-GB"/>
                    </w:rPr>
                    <w:t>Area</w:t>
                  </w:r>
                </w:p>
              </w:tc>
              <w:tc>
                <w:tcPr>
                  <w:tcW w:w="3856" w:type="dxa"/>
                  <w:gridSpan w:val="2"/>
                  <w:tcBorders>
                    <w:top w:val="nil"/>
                    <w:left w:val="nil"/>
                    <w:bottom w:val="nil"/>
                    <w:right w:val="nil"/>
                  </w:tcBorders>
                  <w:shd w:val="clear" w:color="000000" w:fill="D9D9D9"/>
                  <w:noWrap/>
                  <w:vAlign w:val="bottom"/>
                  <w:hideMark/>
                </w:tcPr>
                <w:p w14:paraId="495CCF11" w14:textId="77777777" w:rsidR="003B1804" w:rsidRPr="003B1804" w:rsidRDefault="003B1804" w:rsidP="003B1804">
                  <w:pPr>
                    <w:spacing w:after="0" w:line="240" w:lineRule="auto"/>
                    <w:rPr>
                      <w:rFonts w:ascii="Calibri" w:eastAsia="Times New Roman" w:hAnsi="Calibri" w:cs="Calibri"/>
                      <w:b/>
                      <w:bCs/>
                      <w:sz w:val="22"/>
                      <w:lang w:eastAsia="en-GB"/>
                    </w:rPr>
                  </w:pPr>
                  <w:r w:rsidRPr="003B1804">
                    <w:rPr>
                      <w:rFonts w:ascii="Calibri" w:eastAsia="Times New Roman" w:hAnsi="Calibri" w:cs="Calibri"/>
                      <w:b/>
                      <w:bCs/>
                      <w:sz w:val="22"/>
                      <w:lang w:eastAsia="en-GB"/>
                    </w:rPr>
                    <w:t>Requirement</w:t>
                  </w:r>
                </w:p>
              </w:tc>
              <w:tc>
                <w:tcPr>
                  <w:tcW w:w="4396" w:type="dxa"/>
                  <w:gridSpan w:val="2"/>
                  <w:tcBorders>
                    <w:top w:val="nil"/>
                    <w:left w:val="nil"/>
                    <w:bottom w:val="nil"/>
                    <w:right w:val="nil"/>
                  </w:tcBorders>
                  <w:shd w:val="clear" w:color="000000" w:fill="D9D9D9"/>
                  <w:noWrap/>
                  <w:vAlign w:val="bottom"/>
                  <w:hideMark/>
                </w:tcPr>
                <w:p w14:paraId="08808B9B" w14:textId="77777777" w:rsidR="003B1804" w:rsidRPr="003B1804" w:rsidRDefault="003B1804" w:rsidP="003B1804">
                  <w:pPr>
                    <w:spacing w:after="0" w:line="240" w:lineRule="auto"/>
                    <w:rPr>
                      <w:rFonts w:ascii="Calibri" w:eastAsia="Times New Roman" w:hAnsi="Calibri" w:cs="Calibri"/>
                      <w:b/>
                      <w:bCs/>
                      <w:sz w:val="22"/>
                      <w:lang w:eastAsia="en-GB"/>
                    </w:rPr>
                  </w:pPr>
                  <w:r w:rsidRPr="003B1804">
                    <w:rPr>
                      <w:rFonts w:ascii="Calibri" w:eastAsia="Times New Roman" w:hAnsi="Calibri" w:cs="Calibri"/>
                      <w:b/>
                      <w:bCs/>
                      <w:sz w:val="22"/>
                      <w:lang w:eastAsia="en-GB"/>
                    </w:rPr>
                    <w:t>Requirement Description</w:t>
                  </w:r>
                </w:p>
              </w:tc>
            </w:tr>
            <w:tr w:rsidR="003B1804" w:rsidRPr="003B1804" w14:paraId="166F1CF8" w14:textId="77777777" w:rsidTr="003B1804">
              <w:trPr>
                <w:gridAfter w:val="1"/>
                <w:wAfter w:w="59" w:type="dxa"/>
                <w:trHeight w:val="8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5C913" w14:textId="77777777" w:rsidR="003B1804" w:rsidRPr="003B1804" w:rsidRDefault="003B1804" w:rsidP="003B1804">
                  <w:pPr>
                    <w:spacing w:after="0" w:line="240" w:lineRule="auto"/>
                    <w:rPr>
                      <w:rFonts w:ascii="Calibri" w:eastAsia="Times New Roman" w:hAnsi="Calibri" w:cs="Calibri"/>
                      <w:color w:val="000000"/>
                      <w:sz w:val="22"/>
                      <w:lang w:eastAsia="en-GB"/>
                    </w:rPr>
                  </w:pPr>
                  <w:r w:rsidRPr="003B1804">
                    <w:rPr>
                      <w:rFonts w:ascii="Calibri" w:eastAsia="Times New Roman" w:hAnsi="Calibri" w:cs="Calibri"/>
                      <w:color w:val="000000"/>
                      <w:sz w:val="22"/>
                      <w:lang w:eastAsia="en-GB"/>
                    </w:rPr>
                    <w:t>MHHSP-16</w:t>
                  </w:r>
                </w:p>
              </w:tc>
              <w:tc>
                <w:tcPr>
                  <w:tcW w:w="1120" w:type="dxa"/>
                  <w:gridSpan w:val="2"/>
                  <w:tcBorders>
                    <w:top w:val="single" w:sz="4" w:space="0" w:color="auto"/>
                    <w:left w:val="nil"/>
                    <w:bottom w:val="single" w:sz="4" w:space="0" w:color="auto"/>
                    <w:right w:val="single" w:sz="4" w:space="0" w:color="auto"/>
                  </w:tcBorders>
                  <w:shd w:val="clear" w:color="000000" w:fill="F8CBAD"/>
                  <w:noWrap/>
                  <w:vAlign w:val="bottom"/>
                  <w:hideMark/>
                </w:tcPr>
                <w:p w14:paraId="67CF9E1D" w14:textId="77777777" w:rsidR="003B1804" w:rsidRPr="003B1804" w:rsidRDefault="003B1804" w:rsidP="003B1804">
                  <w:pPr>
                    <w:spacing w:after="0" w:line="240" w:lineRule="auto"/>
                    <w:rPr>
                      <w:rFonts w:ascii="Calibri" w:eastAsia="Times New Roman" w:hAnsi="Calibri" w:cs="Calibri"/>
                      <w:color w:val="000000"/>
                      <w:sz w:val="22"/>
                      <w:lang w:eastAsia="en-GB"/>
                    </w:rPr>
                  </w:pPr>
                  <w:r w:rsidRPr="003B1804">
                    <w:rPr>
                      <w:rFonts w:ascii="Calibri" w:eastAsia="Times New Roman" w:hAnsi="Calibri" w:cs="Calibri"/>
                      <w:color w:val="000000"/>
                      <w:sz w:val="22"/>
                      <w:lang w:eastAsia="en-GB"/>
                    </w:rPr>
                    <w:t>ISD</w:t>
                  </w:r>
                </w:p>
              </w:tc>
              <w:tc>
                <w:tcPr>
                  <w:tcW w:w="3840" w:type="dxa"/>
                  <w:gridSpan w:val="2"/>
                  <w:tcBorders>
                    <w:top w:val="single" w:sz="4" w:space="0" w:color="auto"/>
                    <w:left w:val="nil"/>
                    <w:bottom w:val="single" w:sz="4" w:space="0" w:color="auto"/>
                    <w:right w:val="single" w:sz="4" w:space="0" w:color="auto"/>
                  </w:tcBorders>
                  <w:shd w:val="clear" w:color="000000" w:fill="F8CBAD"/>
                  <w:noWrap/>
                  <w:vAlign w:val="bottom"/>
                  <w:hideMark/>
                </w:tcPr>
                <w:p w14:paraId="22F1B1ED" w14:textId="77777777" w:rsidR="003B1804" w:rsidRPr="003B1804" w:rsidRDefault="003B1804" w:rsidP="003B1804">
                  <w:pPr>
                    <w:spacing w:after="0" w:line="240" w:lineRule="auto"/>
                    <w:rPr>
                      <w:rFonts w:ascii="Calibri" w:eastAsia="Times New Roman" w:hAnsi="Calibri" w:cs="Calibri"/>
                      <w:color w:val="000000"/>
                      <w:sz w:val="22"/>
                      <w:lang w:eastAsia="en-GB"/>
                    </w:rPr>
                  </w:pPr>
                  <w:r w:rsidRPr="003B1804">
                    <w:rPr>
                      <w:rFonts w:ascii="Calibri" w:eastAsia="Times New Roman" w:hAnsi="Calibri" w:cs="Calibri"/>
                      <w:color w:val="000000"/>
                      <w:sz w:val="22"/>
                      <w:lang w:eastAsia="en-GB"/>
                    </w:rPr>
                    <w:t>ISD and MDD publishing during Transition</w:t>
                  </w:r>
                </w:p>
              </w:tc>
              <w:tc>
                <w:tcPr>
                  <w:tcW w:w="4380" w:type="dxa"/>
                  <w:gridSpan w:val="2"/>
                  <w:tcBorders>
                    <w:top w:val="single" w:sz="4" w:space="0" w:color="auto"/>
                    <w:left w:val="nil"/>
                    <w:bottom w:val="single" w:sz="4" w:space="0" w:color="auto"/>
                    <w:right w:val="single" w:sz="4" w:space="0" w:color="auto"/>
                  </w:tcBorders>
                  <w:shd w:val="clear" w:color="000000" w:fill="F8CBAD"/>
                  <w:vAlign w:val="bottom"/>
                  <w:hideMark/>
                </w:tcPr>
                <w:p w14:paraId="2D43A073" w14:textId="77777777" w:rsidR="003B1804" w:rsidRPr="003B1804" w:rsidRDefault="003B1804" w:rsidP="003B1804">
                  <w:pPr>
                    <w:spacing w:after="0" w:line="240" w:lineRule="auto"/>
                    <w:rPr>
                      <w:rFonts w:ascii="Calibri" w:eastAsia="Times New Roman" w:hAnsi="Calibri" w:cs="Calibri"/>
                      <w:color w:val="000000"/>
                      <w:sz w:val="22"/>
                      <w:lang w:eastAsia="en-GB"/>
                    </w:rPr>
                  </w:pPr>
                  <w:r w:rsidRPr="003B1804">
                    <w:rPr>
                      <w:rFonts w:ascii="Calibri" w:eastAsia="Times New Roman" w:hAnsi="Calibri" w:cs="Calibri"/>
                      <w:color w:val="000000"/>
                      <w:sz w:val="22"/>
                      <w:lang w:eastAsia="en-GB"/>
                    </w:rPr>
                    <w:t>During Transition the ISD publish and MDD monthly publish will be separate outputs and according to a single change process</w:t>
                  </w:r>
                </w:p>
              </w:tc>
            </w:tr>
          </w:tbl>
          <w:p w14:paraId="2B96BCC8" w14:textId="77777777" w:rsidR="003B1804" w:rsidRDefault="003B1804" w:rsidP="00BA4845">
            <w:pPr>
              <w:pStyle w:val="MHHSBody"/>
              <w:spacing w:after="20" w:line="0" w:lineRule="atLeast"/>
              <w:rPr>
                <w:i/>
                <w:iCs/>
                <w:sz w:val="16"/>
                <w:szCs w:val="16"/>
              </w:rPr>
            </w:pPr>
          </w:p>
          <w:p w14:paraId="181F2F73" w14:textId="6D0CE6D3" w:rsidR="003B1804" w:rsidRPr="002076EC" w:rsidRDefault="003B1804" w:rsidP="00BA4845">
            <w:pPr>
              <w:pStyle w:val="MHHSBody"/>
              <w:spacing w:after="20" w:line="0" w:lineRule="atLeast"/>
              <w:rPr>
                <w:szCs w:val="20"/>
              </w:rPr>
            </w:pPr>
            <w:r w:rsidRPr="002076EC">
              <w:rPr>
                <w:szCs w:val="20"/>
              </w:rPr>
              <w:t>We seek to change this from monthly to fortnightly.</w:t>
            </w:r>
          </w:p>
          <w:p w14:paraId="230016AE" w14:textId="4DB3CAD1" w:rsidR="003B1804" w:rsidRPr="002076EC" w:rsidRDefault="003B1804" w:rsidP="00BA4845">
            <w:pPr>
              <w:pStyle w:val="MHHSBody"/>
              <w:spacing w:after="20" w:line="0" w:lineRule="atLeast"/>
              <w:rPr>
                <w:szCs w:val="20"/>
              </w:rPr>
            </w:pPr>
          </w:p>
          <w:p w14:paraId="057885D4" w14:textId="54DB897B" w:rsidR="003B1804" w:rsidRPr="002076EC" w:rsidRDefault="003B1804" w:rsidP="00BA4845">
            <w:pPr>
              <w:pStyle w:val="MHHSBody"/>
              <w:spacing w:after="20" w:line="0" w:lineRule="atLeast"/>
              <w:rPr>
                <w:szCs w:val="20"/>
              </w:rPr>
            </w:pPr>
            <w:r w:rsidRPr="002076EC">
              <w:rPr>
                <w:szCs w:val="20"/>
              </w:rPr>
              <w:t xml:space="preserve">The Service Activation Working Group has considered the impact to MDD and </w:t>
            </w:r>
            <w:r w:rsidR="002672F6" w:rsidRPr="002076EC">
              <w:rPr>
                <w:szCs w:val="20"/>
              </w:rPr>
              <w:t>believe</w:t>
            </w:r>
            <w:r w:rsidRPr="002076EC">
              <w:rPr>
                <w:szCs w:val="20"/>
              </w:rPr>
              <w:t xml:space="preserve"> that MDD can remain at monthly frequency if </w:t>
            </w:r>
            <w:r w:rsidR="002672F6" w:rsidRPr="002076EC">
              <w:rPr>
                <w:szCs w:val="20"/>
              </w:rPr>
              <w:t>prospective</w:t>
            </w:r>
            <w:r w:rsidRPr="002076EC">
              <w:rPr>
                <w:szCs w:val="20"/>
              </w:rPr>
              <w:t xml:space="preserve"> MHHS parties are pre-populated in MDD.  It is felt that this has no impact as parties cannot interact with the prospective MHHS parties until there have gone through the full set of Qualification and Service activation processes.</w:t>
            </w:r>
          </w:p>
          <w:p w14:paraId="193F0008" w14:textId="3A549030" w:rsidR="00036165" w:rsidRDefault="00036165" w:rsidP="00790171">
            <w:pPr>
              <w:pStyle w:val="MHHSBody"/>
            </w:pPr>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1BA16F52" w14:textId="10F0CD59"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26491EBB" w14:textId="7BBF6924" w:rsidR="00D07618" w:rsidRDefault="00D07618" w:rsidP="00790171">
            <w:pPr>
              <w:pStyle w:val="MHHSBody"/>
            </w:pPr>
          </w:p>
          <w:p w14:paraId="7931834F" w14:textId="7B572775" w:rsidR="003B1804" w:rsidRDefault="003B1804" w:rsidP="00790171">
            <w:pPr>
              <w:pStyle w:val="MHHSBody"/>
            </w:pPr>
            <w:r>
              <w:t>Increasing the frequency of ISD publication will bring forward the date when parties can commence m</w:t>
            </w:r>
            <w:r w:rsidR="002672F6">
              <w:t>igration thus mitigating the risk of lost migration capacity and serving to protect the M15 milestone.</w:t>
            </w:r>
          </w:p>
          <w:p w14:paraId="55446974" w14:textId="52FBF093" w:rsidR="003B1804" w:rsidRDefault="003B1804" w:rsidP="00790171">
            <w:pPr>
              <w:pStyle w:val="MHHSBody"/>
            </w:pP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07F2A83B"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478F9D56" w14:textId="77777777" w:rsidR="00D07618" w:rsidRDefault="00D07618" w:rsidP="00BA4845">
            <w:pPr>
              <w:pStyle w:val="MHHSBody"/>
            </w:pPr>
          </w:p>
          <w:p w14:paraId="3E0E64A4" w14:textId="0FE5B69D" w:rsidR="002672F6" w:rsidRPr="00960D82" w:rsidRDefault="002672F6" w:rsidP="00BA4845">
            <w:pPr>
              <w:pStyle w:val="MHHSBody"/>
            </w:pPr>
            <w:r>
              <w:t xml:space="preserve">Parties may be required to wait longer than necessary before commencing their migration. </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767404DB" w14:textId="20A9B913" w:rsidR="00D94CB0" w:rsidRPr="00960D82" w:rsidRDefault="002672F6" w:rsidP="00BA4845">
            <w:pPr>
              <w:pStyle w:val="MHHSBody"/>
              <w:spacing w:after="20" w:line="0" w:lineRule="atLeast"/>
              <w:rPr>
                <w:b/>
              </w:rPr>
            </w:pPr>
            <w:r w:rsidRPr="002672F6">
              <w:t>Without change, no mitigation possible and delays would be unavoidable.</w:t>
            </w: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lastRenderedPageBreak/>
              <w:t>Risks</w:t>
            </w:r>
            <w:r w:rsidR="004C626E" w:rsidRPr="00960D82">
              <w:rPr>
                <w:b/>
              </w:rPr>
              <w:t xml:space="preserve"> associated with potential change</w:t>
            </w:r>
            <w:r w:rsidR="00D94CB0" w:rsidRPr="00960D82">
              <w:rPr>
                <w:b/>
              </w:rPr>
              <w:t>:</w:t>
            </w:r>
          </w:p>
          <w:p w14:paraId="056C9039" w14:textId="5B8706DD" w:rsidR="00D94CB0" w:rsidRDefault="00D94CB0" w:rsidP="00D94CB0">
            <w:pPr>
              <w:pStyle w:val="MHHSBody"/>
              <w:rPr>
                <w:i/>
                <w:sz w:val="16"/>
                <w:szCs w:val="20"/>
              </w:rPr>
            </w:pPr>
            <w:r w:rsidRPr="00960D82">
              <w:rPr>
                <w:i/>
                <w:sz w:val="16"/>
                <w:szCs w:val="20"/>
              </w:rPr>
              <w:t>(what risks related to implementation of the proposed change have been identified)</w:t>
            </w:r>
          </w:p>
          <w:p w14:paraId="661F2CF1" w14:textId="55273224" w:rsidR="002672F6" w:rsidRPr="002672F6" w:rsidRDefault="002672F6" w:rsidP="00D94CB0">
            <w:pPr>
              <w:pStyle w:val="MHHSBody"/>
            </w:pPr>
            <w:r w:rsidRPr="002672F6">
              <w:t>We believe the risk attached to this change is low and are confined to the changes required to increase frequency of the process. The process will not materially change.</w:t>
            </w:r>
          </w:p>
          <w:p w14:paraId="61D6CFE3" w14:textId="70A6F9FC" w:rsidR="00D94CB0" w:rsidRPr="00960D82" w:rsidRDefault="00D94CB0" w:rsidP="00BA4845">
            <w:pPr>
              <w:pStyle w:val="MHHSBody"/>
              <w:spacing w:after="20" w:line="0" w:lineRule="atLeast"/>
              <w:rPr>
                <w:b/>
              </w:rPr>
            </w:pPr>
          </w:p>
        </w:tc>
      </w:tr>
      <w:tr w:rsidR="00593C2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0A540982" w:rsidR="00D94CB0" w:rsidRDefault="00D94CB0" w:rsidP="00D94CB0">
            <w:pPr>
              <w:pStyle w:val="MHHSBody"/>
              <w:rPr>
                <w:i/>
                <w:iCs/>
                <w:sz w:val="16"/>
                <w:szCs w:val="20"/>
                <w:shd w:val="clear" w:color="auto" w:fill="FFFFFF" w:themeFill="background1"/>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54FD6A43" w14:textId="06576C80" w:rsidR="002672F6" w:rsidRDefault="002672F6" w:rsidP="00D94CB0">
            <w:pPr>
              <w:pStyle w:val="MHHSBody"/>
              <w:rPr>
                <w:i/>
                <w:iCs/>
                <w:sz w:val="16"/>
                <w:szCs w:val="20"/>
                <w:shd w:val="clear" w:color="auto" w:fill="FFFFFF" w:themeFill="background1"/>
              </w:rPr>
            </w:pPr>
          </w:p>
          <w:p w14:paraId="62EA29AA" w14:textId="1295928C" w:rsidR="002672F6" w:rsidRPr="002672F6" w:rsidRDefault="002672F6" w:rsidP="00D94CB0">
            <w:pPr>
              <w:pStyle w:val="MHHSBody"/>
            </w:pPr>
            <w:r w:rsidRPr="002672F6">
              <w:t>This process has been developed as part of a MHHS/</w:t>
            </w:r>
            <w:proofErr w:type="spellStart"/>
            <w:r w:rsidRPr="002672F6">
              <w:t>BSCCo</w:t>
            </w:r>
            <w:proofErr w:type="spellEnd"/>
            <w:r w:rsidRPr="002672F6">
              <w:t xml:space="preserve"> working group convened to detail the Service Activation process.</w:t>
            </w:r>
          </w:p>
          <w:p w14:paraId="0AB7B0C0" w14:textId="7489FB9B" w:rsidR="00D94CB0" w:rsidRPr="00960D82" w:rsidRDefault="00D94CB0" w:rsidP="00BA4845">
            <w:pPr>
              <w:pStyle w:val="MHHSBody"/>
              <w:spacing w:after="20" w:line="0" w:lineRule="atLeast"/>
              <w:rPr>
                <w:b/>
              </w:rPr>
            </w:pP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58CA90DE" w:rsidR="00E86758" w:rsidRDefault="007560FE" w:rsidP="00CB0714">
            <w:pPr>
              <w:pStyle w:val="MHHSBody"/>
            </w:pPr>
            <w:r>
              <w:fldChar w:fldCharType="begin">
                <w:ffData>
                  <w:name w:val="Text9"/>
                  <w:enabled/>
                  <w:calcOnExit w:val="0"/>
                  <w:textInput/>
                </w:ffData>
              </w:fldChar>
            </w:r>
            <w:bookmarkStart w:id="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2672F6">
              <w:t>ASAP</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0E35E16F" w:rsidR="00D51932" w:rsidRPr="009A6637" w:rsidRDefault="009A6637" w:rsidP="00651F24">
            <w:pPr>
              <w:pStyle w:val="MHHSBody"/>
            </w:pPr>
            <w:r w:rsidRPr="009A6637">
              <w:t xml:space="preserve">Reduction in the time between a party </w:t>
            </w:r>
            <w:r>
              <w:t>qua</w:t>
            </w:r>
            <w:r w:rsidRPr="009A6637">
              <w:t>lifying and being active within the news MHHS arrangements</w:t>
            </w:r>
          </w:p>
          <w:p w14:paraId="20F87222" w14:textId="77777777" w:rsidR="00D51932" w:rsidRDefault="00D51932" w:rsidP="00651F24">
            <w:pPr>
              <w:pStyle w:val="MHHS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3B718BBE" w:rsidR="002B04D8" w:rsidRDefault="00202EE0" w:rsidP="00151F9B">
            <w:pPr>
              <w:pStyle w:val="MHHSBody"/>
            </w:pPr>
            <w:r>
              <w:fldChar w:fldCharType="begin">
                <w:ffData>
                  <w:name w:val="Text53"/>
                  <w:enabled/>
                  <w:calcOnExit w:val="0"/>
                  <w:textInput/>
                </w:ffData>
              </w:fldChar>
            </w:r>
            <w:bookmarkStart w:id="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0E275E62" w:rsidR="002B04D8" w:rsidRDefault="002B04D8" w:rsidP="00151F9B">
            <w:pPr>
              <w:pStyle w:val="MHHSBody"/>
            </w:pPr>
            <w:r>
              <w:fldChar w:fldCharType="begin">
                <w:ffData>
                  <w:name w:val="Text46"/>
                  <w:enabled/>
                  <w:calcOnExit w:val="0"/>
                  <w:textInput/>
                </w:ffData>
              </w:fldChar>
            </w:r>
            <w:r>
              <w:instrText xml:space="preserve"> FORMTEXT </w:instrText>
            </w:r>
            <w:r>
              <w:fldChar w:fldCharType="separate"/>
            </w:r>
            <w:r w:rsidR="00202EE0">
              <w:t> </w:t>
            </w:r>
            <w:r w:rsidR="00202EE0">
              <w:t> </w:t>
            </w:r>
            <w:r w:rsidR="00202EE0">
              <w:t> </w:t>
            </w:r>
            <w:r w:rsidR="00202EE0">
              <w:t> </w:t>
            </w:r>
            <w:r w:rsidR="00202EE0">
              <w:t> </w:t>
            </w:r>
            <w:r>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0A13CD70" w:rsidR="00151F9B" w:rsidRDefault="00151F9B" w:rsidP="00151F9B">
            <w:pPr>
              <w:pStyle w:val="MHHSBody"/>
            </w:pPr>
            <w:r>
              <w:fldChar w:fldCharType="begin">
                <w:ffData>
                  <w:name w:val="Text47"/>
                  <w:enabled/>
                  <w:calcOnExit w:val="0"/>
                  <w:textInput/>
                </w:ffData>
              </w:fldChar>
            </w:r>
            <w:bookmarkStart w:id="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32D186DC" w14:textId="77777777" w:rsidR="00151F9B" w:rsidRDefault="00151F9B" w:rsidP="00151F9B">
            <w:pPr>
              <w:pStyle w:val="MHHSBody"/>
            </w:pPr>
            <w:r>
              <w:fldChar w:fldCharType="begin">
                <w:ffData>
                  <w:name w:val="Text48"/>
                  <w:enabled/>
                  <w:calcOnExit w:val="0"/>
                  <w:textInput/>
                </w:ffData>
              </w:fldChar>
            </w:r>
            <w:bookmarkStart w:id="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35096E1" w14:textId="5B0EB579" w:rsidR="009A6637" w:rsidRDefault="009A6637" w:rsidP="00151F9B">
            <w:pPr>
              <w:pStyle w:val="MHHSBody"/>
            </w:pPr>
            <w:r>
              <w:t>Minimises wasted Migration Capacity and supports the timely delivery of M15.</w:t>
            </w:r>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0FBF274A" w14:textId="1B2F4199" w:rsidR="00151F9B" w:rsidRDefault="00151F9B" w:rsidP="00151F9B">
            <w:pPr>
              <w:pStyle w:val="MHHSBody"/>
            </w:pPr>
            <w:r>
              <w:fldChar w:fldCharType="begin">
                <w:ffData>
                  <w:name w:val="Text49"/>
                  <w:enabled/>
                  <w:calcOnExit w:val="0"/>
                  <w:textInput/>
                </w:ffData>
              </w:fldChar>
            </w:r>
            <w:bookmarkStart w:id="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444275F1" w14:textId="648220AD" w:rsidR="00151F9B" w:rsidRDefault="00151F9B" w:rsidP="00151F9B">
            <w:pPr>
              <w:pStyle w:val="MHHSBody"/>
            </w:pPr>
            <w:r>
              <w:fldChar w:fldCharType="begin">
                <w:ffData>
                  <w:name w:val="Text50"/>
                  <w:enabled/>
                  <w:calcOnExit w:val="0"/>
                  <w:textInput/>
                </w:ffData>
              </w:fldChar>
            </w:r>
            <w:bookmarkStart w:id="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30995565" w:rsidR="00CF3F69" w:rsidRDefault="002B4DF4" w:rsidP="00250039">
            <w:pPr>
              <w:pStyle w:val="MHHSBody"/>
            </w:pPr>
            <w:r>
              <w:fldChar w:fldCharType="begin">
                <w:ffData>
                  <w:name w:val="Text45"/>
                  <w:enabled/>
                  <w:calcOnExit w:val="0"/>
                  <w:textInput/>
                </w:ffData>
              </w:fldChar>
            </w:r>
            <w:bookmarkStart w:id="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9A6637">
              <w:t>All parties who create / consume ISD</w:t>
            </w:r>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3FCF16C4" w:rsidR="00CF3F69" w:rsidRDefault="002B4DF4" w:rsidP="00250039">
            <w:pPr>
              <w:pStyle w:val="MHHSBody"/>
            </w:pPr>
            <w:r>
              <w:fldChar w:fldCharType="begin">
                <w:ffData>
                  <w:name w:val="Text46"/>
                  <w:enabled/>
                  <w:calcOnExit w:val="0"/>
                  <w:textInput/>
                </w:ffData>
              </w:fldChar>
            </w:r>
            <w:bookmarkStart w:id="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56197EF0" w:rsidR="004E5557" w:rsidRPr="0054131D" w:rsidRDefault="0054131D" w:rsidP="00250039">
            <w:pPr>
              <w:pStyle w:val="MHHSBody"/>
              <w:rPr>
                <w:i/>
                <w:iCs/>
              </w:rPr>
            </w:pPr>
            <w:r w:rsidRPr="0054131D">
              <w:rPr>
                <w:i/>
                <w:iCs/>
                <w:color w:val="5161FC" w:themeColor="accent1"/>
              </w:rPr>
              <w:t>&lt;</w:t>
            </w:r>
            <w:r w:rsidR="004E5557" w:rsidRPr="0054131D">
              <w:rPr>
                <w:i/>
                <w:iCs/>
                <w:color w:val="5161FC" w:themeColor="accent1"/>
              </w:rPr>
              <w:t>Ofgem’s MHHS Transition Timetable is linked above</w:t>
            </w:r>
            <w:r w:rsidRPr="0054131D">
              <w:rPr>
                <w:i/>
                <w:iCs/>
                <w:color w:val="5161FC" w:themeColor="accent1"/>
              </w:rPr>
              <w:t>&gt;</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2108" w:type="dxa"/>
          </w:tcPr>
          <w:p w14:paraId="6AFE7378"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8" w:name="Dropdown1"/>
            <w:r>
              <w:instrText xml:space="preserve"> FORMDROPDOWN </w:instrText>
            </w:r>
            <w:r w:rsidR="00000000">
              <w:fldChar w:fldCharType="separate"/>
            </w:r>
            <w:r>
              <w:fldChar w:fldCharType="end"/>
            </w:r>
            <w:bookmarkEnd w:id="8"/>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9" w:name="Dropdown4"/>
            <w:r>
              <w:instrText xml:space="preserve"> FORMDROPDOWN </w:instrText>
            </w:r>
            <w:r w:rsidR="00000000">
              <w:fldChar w:fldCharType="separate"/>
            </w:r>
            <w:r>
              <w:fldChar w:fldCharType="end"/>
            </w:r>
            <w:bookmarkEnd w:id="9"/>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10" w:name="Dropdown2"/>
            <w:r>
              <w:instrText xml:space="preserve"> FORMDROPDOWN </w:instrText>
            </w:r>
            <w:r w:rsidR="00000000">
              <w:fldChar w:fldCharType="separate"/>
            </w:r>
            <w:r>
              <w:fldChar w:fldCharType="end"/>
            </w:r>
            <w:bookmarkEnd w:id="10"/>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1" w:name="Dropdown5"/>
            <w:r>
              <w:instrText xml:space="preserve"> FORMDROPDOWN </w:instrText>
            </w:r>
            <w:r w:rsidR="00000000">
              <w:fldChar w:fldCharType="separate"/>
            </w:r>
            <w:r>
              <w:fldChar w:fldCharType="end"/>
            </w:r>
            <w:bookmarkEnd w:id="11"/>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77777777" w:rsidR="004D0669" w:rsidRDefault="004D0669" w:rsidP="005A4D7B">
            <w:pPr>
              <w:pStyle w:val="MHHSBody"/>
            </w:pPr>
            <w:r>
              <w:fldChar w:fldCharType="begin">
                <w:ffData>
                  <w:name w:val="Dropdown3"/>
                  <w:enabled/>
                  <w:calcOnExit w:val="0"/>
                  <w:ddList>
                    <w:listEntry w:val="Very Low"/>
                    <w:listEntry w:val="Low"/>
                    <w:listEntry w:val="Medium"/>
                    <w:listEntry w:val="High"/>
                  </w:ddList>
                </w:ffData>
              </w:fldChar>
            </w:r>
            <w:bookmarkStart w:id="12" w:name="Dropdown3"/>
            <w:r>
              <w:instrText xml:space="preserve"> FORMDROPDOWN </w:instrText>
            </w:r>
            <w:r w:rsidR="00000000">
              <w:fldChar w:fldCharType="separate"/>
            </w:r>
            <w:r>
              <w:fldChar w:fldCharType="end"/>
            </w:r>
            <w:bookmarkEnd w:id="12"/>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 xml:space="preserve">confidential rather than the </w:t>
      </w:r>
      <w:proofErr w:type="gramStart"/>
      <w:r w:rsidRPr="005B7D3A">
        <w:rPr>
          <w:rFonts w:cstheme="minorHAnsi"/>
          <w:b w:val="0"/>
          <w:bCs w:val="0"/>
          <w:i/>
          <w:iCs/>
          <w:color w:val="041425" w:themeColor="text1"/>
          <w:sz w:val="20"/>
          <w:szCs w:val="20"/>
        </w:rPr>
        <w:t>response as a whole</w:t>
      </w:r>
      <w:proofErr w:type="gramEnd"/>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603A0E59" w14:textId="77777777" w:rsidR="003B4E65" w:rsidRDefault="00F37521" w:rsidP="004D272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r w:rsidR="00CD13BC" w:rsidRPr="005B7D3A">
              <w:rPr>
                <w:rFonts w:cstheme="minorHAnsi"/>
                <w:i/>
                <w:iCs/>
                <w:color w:val="041425" w:themeColor="text1"/>
                <w:szCs w:val="20"/>
              </w:rPr>
              <w:t>.</w:t>
            </w:r>
          </w:p>
          <w:p w14:paraId="36C3A811" w14:textId="77777777" w:rsidR="007B7230" w:rsidRDefault="007B7230" w:rsidP="004D272C">
            <w:pPr>
              <w:pStyle w:val="MHHSBody"/>
              <w:rPr>
                <w:rFonts w:cstheme="minorHAnsi"/>
                <w:i/>
                <w:iCs/>
                <w:color w:val="041425" w:themeColor="text1"/>
                <w:szCs w:val="20"/>
              </w:rPr>
            </w:pPr>
          </w:p>
          <w:p w14:paraId="4B0E24DB" w14:textId="2E4561BF" w:rsidR="007B7230" w:rsidRPr="007B7230" w:rsidRDefault="007B7230" w:rsidP="004D272C">
            <w:pPr>
              <w:pStyle w:val="MHHSBody"/>
              <w:rPr>
                <w:rFonts w:cstheme="minorHAnsi"/>
                <w:i/>
                <w:iCs/>
                <w:color w:val="041425" w:themeColor="text1"/>
                <w:szCs w:val="20"/>
              </w:rPr>
            </w:pP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54E54687" w14:textId="77777777" w:rsidR="00CD1DDD" w:rsidRPr="005B7D3A" w:rsidRDefault="00214B3C" w:rsidP="00214B3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14:paraId="079D559A" w14:textId="77777777" w:rsidR="00CD1DDD" w:rsidRPr="005B7D3A" w:rsidRDefault="00CD1DDD" w:rsidP="00214B3C">
            <w:pPr>
              <w:pStyle w:val="MHHSBody"/>
              <w:rPr>
                <w:rFonts w:cstheme="minorHAnsi"/>
                <w:i/>
                <w:iCs/>
                <w:color w:val="041425" w:themeColor="text1"/>
                <w:szCs w:val="20"/>
              </w:rPr>
            </w:pP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3"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13"/>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701B7E0A" w14:textId="77777777" w:rsidR="00AF4AE2" w:rsidRPr="005B7D3A" w:rsidRDefault="00AF4AE2" w:rsidP="00AF4AE2">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14:paraId="67B38DD6" w14:textId="77777777" w:rsidR="00AF4AE2" w:rsidRPr="005B7D3A" w:rsidRDefault="00AF4AE2" w:rsidP="00AF4AE2">
            <w:pPr>
              <w:pStyle w:val="MHHSBody"/>
              <w:rPr>
                <w:rFonts w:cstheme="minorHAnsi"/>
                <w:i/>
                <w:iCs/>
                <w:color w:val="041425" w:themeColor="text1"/>
                <w:szCs w:val="20"/>
              </w:rPr>
            </w:pP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448E9D64" w14:textId="77777777" w:rsidR="009056D8" w:rsidRPr="005B7D3A" w:rsidRDefault="009056D8" w:rsidP="009056D8">
            <w:pPr>
              <w:pStyle w:val="MHHSBody"/>
              <w:rPr>
                <w:b/>
                <w:bCs/>
                <w:color w:val="041425" w:themeColor="text1"/>
              </w:rPr>
            </w:pPr>
            <w:r w:rsidRPr="005B7D3A">
              <w:rPr>
                <w:rFonts w:cstheme="minorHAnsi"/>
                <w:i/>
                <w:iCs/>
                <w:color w:val="041425" w:themeColor="text1"/>
                <w:szCs w:val="20"/>
              </w:rPr>
              <w:t>Change Raiser to provide initial impact assessment.</w:t>
            </w:r>
          </w:p>
          <w:p w14:paraId="552719B1" w14:textId="77777777" w:rsidR="009056D8" w:rsidRPr="005B7D3A" w:rsidRDefault="009056D8" w:rsidP="009056D8">
            <w:pPr>
              <w:pStyle w:val="MHHSBody"/>
              <w:rPr>
                <w:b/>
                <w:bCs/>
                <w:color w:val="041425" w:themeColor="text1"/>
              </w:rPr>
            </w:pPr>
          </w:p>
          <w:p w14:paraId="22448014" w14:textId="2E38D3EE"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1A34EFDA" w14:textId="77777777" w:rsidR="002E3B9C" w:rsidRPr="005B7D3A" w:rsidRDefault="002E3B9C" w:rsidP="002E3B9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14:paraId="2EC96E78" w14:textId="77777777" w:rsidR="002E3B9C" w:rsidRPr="005B7D3A" w:rsidRDefault="002E3B9C" w:rsidP="002E3B9C">
            <w:pPr>
              <w:pStyle w:val="MHHSBody"/>
              <w:rPr>
                <w:rFonts w:cstheme="minorHAnsi"/>
                <w:i/>
                <w:iCs/>
                <w:color w:val="041425" w:themeColor="text1"/>
                <w:szCs w:val="20"/>
              </w:rPr>
            </w:pPr>
          </w:p>
          <w:p w14:paraId="556B106E" w14:textId="7BE22C46" w:rsidR="002E3B9C" w:rsidRPr="005B7D3A"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e.g. the change will require X additional staff for Y </w:t>
            </w:r>
            <w:proofErr w:type="gramStart"/>
            <w:r w:rsidRPr="00A441CE">
              <w:rPr>
                <w:rFonts w:cstheme="minorHAnsi"/>
                <w:i/>
                <w:iCs/>
                <w:color w:val="FF0000"/>
                <w:szCs w:val="20"/>
              </w:rPr>
              <w:t>period of time</w:t>
            </w:r>
            <w:proofErr w:type="gramEnd"/>
            <w:r w:rsidRPr="00A441CE">
              <w:rPr>
                <w:rFonts w:cstheme="minorHAnsi"/>
                <w:i/>
                <w:iCs/>
                <w:color w:val="FF0000"/>
                <w:szCs w:val="20"/>
              </w:rPr>
              <w:t>;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2FC1BE2" w14:textId="77777777" w:rsidR="002E3B9C" w:rsidRPr="005B7D3A" w:rsidRDefault="002E3B9C" w:rsidP="002E3B9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14:paraId="46702604" w14:textId="77777777" w:rsidR="002E3B9C" w:rsidRPr="005B7D3A" w:rsidRDefault="002E3B9C" w:rsidP="002E3B9C">
            <w:pPr>
              <w:pStyle w:val="MHHSBody"/>
              <w:rPr>
                <w:rFonts w:cstheme="minorHAnsi"/>
                <w:i/>
                <w:iCs/>
                <w:color w:val="041425" w:themeColor="text1"/>
                <w:szCs w:val="20"/>
              </w:rPr>
            </w:pP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lastRenderedPageBreak/>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Risks</w:t>
            </w:r>
          </w:p>
          <w:p w14:paraId="39E4187B" w14:textId="77777777" w:rsidR="002E3B9C" w:rsidRPr="005B7D3A" w:rsidRDefault="002E3B9C" w:rsidP="002E3B9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14:paraId="5B33AF67" w14:textId="77777777" w:rsidR="002E3B9C" w:rsidRPr="005B7D3A" w:rsidRDefault="002E3B9C" w:rsidP="002E3B9C">
            <w:pPr>
              <w:pStyle w:val="MHHSBody"/>
              <w:rPr>
                <w:rFonts w:cstheme="minorHAnsi"/>
                <w:i/>
                <w:iCs/>
                <w:color w:val="041425" w:themeColor="text1"/>
                <w:szCs w:val="20"/>
              </w:rPr>
            </w:pP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4"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4"/>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5"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5"/>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2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21"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2"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3"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4"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5"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6"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7"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8"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9"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30"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31"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1"/>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2"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4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14:paraId="1E7217EC" w14:textId="490154A9" w:rsidR="00124C9C" w:rsidRDefault="00124C9C" w:rsidP="001E03F6"/>
    <w:sectPr w:rsidR="00124C9C" w:rsidSect="00124C9C">
      <w:footerReference w:type="default" r:id="rId11"/>
      <w:headerReference w:type="first" r:id="rId12"/>
      <w:footerReference w:type="first" r:id="rId13"/>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3334" w14:textId="77777777" w:rsidR="00C71398" w:rsidRDefault="00C71398" w:rsidP="007F1A2A">
      <w:pPr>
        <w:spacing w:after="0" w:line="240" w:lineRule="auto"/>
      </w:pPr>
      <w:r>
        <w:separator/>
      </w:r>
    </w:p>
  </w:endnote>
  <w:endnote w:type="continuationSeparator" w:id="0">
    <w:p w14:paraId="6464640E" w14:textId="77777777" w:rsidR="00C71398" w:rsidRDefault="00C71398" w:rsidP="007F1A2A">
      <w:pPr>
        <w:spacing w:after="0" w:line="240" w:lineRule="auto"/>
      </w:pPr>
      <w:r>
        <w:continuationSeparator/>
      </w:r>
    </w:p>
  </w:endnote>
  <w:endnote w:type="continuationNotice" w:id="1">
    <w:p w14:paraId="3838B558" w14:textId="77777777" w:rsidR="00C71398" w:rsidRDefault="00C71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5D4374DD"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4B3DC9">
              <w:rPr>
                <w:noProof/>
              </w:rPr>
              <w:t>2024</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9A6637">
              <w:rPr>
                <w:noProof/>
              </w:rPr>
              <w:t>4</w:t>
            </w:r>
            <w:r w:rsidRPr="008345BA">
              <w:fldChar w:fldCharType="end"/>
            </w:r>
            <w:r w:rsidRPr="008345BA">
              <w:t xml:space="preserve"> of </w:t>
            </w:r>
            <w:r>
              <w:fldChar w:fldCharType="begin"/>
            </w:r>
            <w:r>
              <w:instrText xml:space="preserve"> NUMPAGES  </w:instrText>
            </w:r>
            <w:r>
              <w:fldChar w:fldCharType="separate"/>
            </w:r>
            <w:r w:rsidR="009A6637">
              <w:rPr>
                <w:noProof/>
              </w:rPr>
              <w:t>9</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13D303FB"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4B3DC9">
      <w:rPr>
        <w:noProof/>
      </w:rPr>
      <w:t>2024</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08A1" w14:textId="77777777" w:rsidR="00C71398" w:rsidRDefault="00C71398" w:rsidP="007F1A2A">
      <w:pPr>
        <w:spacing w:after="0" w:line="240" w:lineRule="auto"/>
      </w:pPr>
      <w:r>
        <w:separator/>
      </w:r>
    </w:p>
  </w:footnote>
  <w:footnote w:type="continuationSeparator" w:id="0">
    <w:p w14:paraId="436C2F5D" w14:textId="77777777" w:rsidR="00C71398" w:rsidRDefault="00C71398" w:rsidP="007F1A2A">
      <w:pPr>
        <w:spacing w:after="0" w:line="240" w:lineRule="auto"/>
      </w:pPr>
      <w:r>
        <w:continuationSeparator/>
      </w:r>
    </w:p>
  </w:footnote>
  <w:footnote w:type="continuationNotice" w:id="1">
    <w:p w14:paraId="4C0C46CC" w14:textId="77777777" w:rsidR="00C71398" w:rsidRDefault="00C713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1"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9"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0"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63718503">
    <w:abstractNumId w:val="2"/>
  </w:num>
  <w:num w:numId="2" w16cid:durableId="455176900">
    <w:abstractNumId w:val="0"/>
  </w:num>
  <w:num w:numId="3" w16cid:durableId="1116945344">
    <w:abstractNumId w:val="9"/>
  </w:num>
  <w:num w:numId="4" w16cid:durableId="1903833643">
    <w:abstractNumId w:val="22"/>
  </w:num>
  <w:num w:numId="5" w16cid:durableId="457531687">
    <w:abstractNumId w:val="3"/>
  </w:num>
  <w:num w:numId="6" w16cid:durableId="1262879877">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235405638">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054281581">
    <w:abstractNumId w:val="8"/>
  </w:num>
  <w:num w:numId="9" w16cid:durableId="322317009">
    <w:abstractNumId w:val="24"/>
  </w:num>
  <w:num w:numId="10" w16cid:durableId="351692980">
    <w:abstractNumId w:val="18"/>
  </w:num>
  <w:num w:numId="11" w16cid:durableId="1660963429">
    <w:abstractNumId w:val="26"/>
  </w:num>
  <w:num w:numId="12" w16cid:durableId="672607910">
    <w:abstractNumId w:val="16"/>
  </w:num>
  <w:num w:numId="13" w16cid:durableId="1353919306">
    <w:abstractNumId w:val="27"/>
  </w:num>
  <w:num w:numId="14" w16cid:durableId="537740991">
    <w:abstractNumId w:val="6"/>
  </w:num>
  <w:num w:numId="15" w16cid:durableId="837502039">
    <w:abstractNumId w:val="25"/>
  </w:num>
  <w:num w:numId="16" w16cid:durableId="1997996454">
    <w:abstractNumId w:val="23"/>
  </w:num>
  <w:num w:numId="17" w16cid:durableId="635767974">
    <w:abstractNumId w:val="1"/>
  </w:num>
  <w:num w:numId="18" w16cid:durableId="1545368902">
    <w:abstractNumId w:val="4"/>
  </w:num>
  <w:num w:numId="19" w16cid:durableId="456223663">
    <w:abstractNumId w:val="21"/>
  </w:num>
  <w:num w:numId="20" w16cid:durableId="979458590">
    <w:abstractNumId w:val="17"/>
  </w:num>
  <w:num w:numId="21" w16cid:durableId="1172644635">
    <w:abstractNumId w:val="14"/>
  </w:num>
  <w:num w:numId="22" w16cid:durableId="1372996100">
    <w:abstractNumId w:val="20"/>
  </w:num>
  <w:num w:numId="23" w16cid:durableId="1549494777">
    <w:abstractNumId w:val="11"/>
  </w:num>
  <w:num w:numId="24" w16cid:durableId="457063817">
    <w:abstractNumId w:val="5"/>
  </w:num>
  <w:num w:numId="25" w16cid:durableId="1384522802">
    <w:abstractNumId w:val="7"/>
  </w:num>
  <w:num w:numId="26" w16cid:durableId="359015398">
    <w:abstractNumId w:val="19"/>
  </w:num>
  <w:num w:numId="27" w16cid:durableId="620919250">
    <w:abstractNumId w:val="12"/>
  </w:num>
  <w:num w:numId="28" w16cid:durableId="1827285766">
    <w:abstractNumId w:val="15"/>
  </w:num>
  <w:num w:numId="29" w16cid:durableId="186594657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34C99"/>
    <w:rsid w:val="00036165"/>
    <w:rsid w:val="000425BF"/>
    <w:rsid w:val="00047328"/>
    <w:rsid w:val="000534B2"/>
    <w:rsid w:val="00053B5E"/>
    <w:rsid w:val="000551C9"/>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3406A"/>
    <w:rsid w:val="00136310"/>
    <w:rsid w:val="00143EC4"/>
    <w:rsid w:val="00145996"/>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7E27"/>
    <w:rsid w:val="001B2B74"/>
    <w:rsid w:val="001B3F5C"/>
    <w:rsid w:val="001C43A1"/>
    <w:rsid w:val="001C5F8C"/>
    <w:rsid w:val="001D43CB"/>
    <w:rsid w:val="001D58BD"/>
    <w:rsid w:val="001E03F6"/>
    <w:rsid w:val="001E1FDA"/>
    <w:rsid w:val="001E621D"/>
    <w:rsid w:val="001F0244"/>
    <w:rsid w:val="001F1487"/>
    <w:rsid w:val="001F36D9"/>
    <w:rsid w:val="001F5B14"/>
    <w:rsid w:val="00200B4D"/>
    <w:rsid w:val="00202EE0"/>
    <w:rsid w:val="002076EC"/>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7A1C"/>
    <w:rsid w:val="00250039"/>
    <w:rsid w:val="00260CDE"/>
    <w:rsid w:val="002626FA"/>
    <w:rsid w:val="00265B8B"/>
    <w:rsid w:val="002672F6"/>
    <w:rsid w:val="0026756E"/>
    <w:rsid w:val="0027332E"/>
    <w:rsid w:val="00275753"/>
    <w:rsid w:val="0027788D"/>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5909"/>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46D9"/>
    <w:rsid w:val="00354C8E"/>
    <w:rsid w:val="0036112A"/>
    <w:rsid w:val="00365A87"/>
    <w:rsid w:val="00370C26"/>
    <w:rsid w:val="00371289"/>
    <w:rsid w:val="00375E65"/>
    <w:rsid w:val="00383384"/>
    <w:rsid w:val="0038723A"/>
    <w:rsid w:val="0038771D"/>
    <w:rsid w:val="00393377"/>
    <w:rsid w:val="0039425C"/>
    <w:rsid w:val="003A0677"/>
    <w:rsid w:val="003A54C8"/>
    <w:rsid w:val="003A5CB9"/>
    <w:rsid w:val="003A7CFD"/>
    <w:rsid w:val="003B1804"/>
    <w:rsid w:val="003B298A"/>
    <w:rsid w:val="003B4E65"/>
    <w:rsid w:val="003B5EC6"/>
    <w:rsid w:val="003C5731"/>
    <w:rsid w:val="003C5BD4"/>
    <w:rsid w:val="003D3C39"/>
    <w:rsid w:val="003D620E"/>
    <w:rsid w:val="003D774C"/>
    <w:rsid w:val="003E389C"/>
    <w:rsid w:val="003F17EB"/>
    <w:rsid w:val="003F4E69"/>
    <w:rsid w:val="003F579A"/>
    <w:rsid w:val="003F7F02"/>
    <w:rsid w:val="00414E29"/>
    <w:rsid w:val="00416C2A"/>
    <w:rsid w:val="00422EC9"/>
    <w:rsid w:val="0042390B"/>
    <w:rsid w:val="00427048"/>
    <w:rsid w:val="00431615"/>
    <w:rsid w:val="00433376"/>
    <w:rsid w:val="0043557E"/>
    <w:rsid w:val="00437715"/>
    <w:rsid w:val="004509C9"/>
    <w:rsid w:val="004515FB"/>
    <w:rsid w:val="00452A2A"/>
    <w:rsid w:val="00456B64"/>
    <w:rsid w:val="00464E40"/>
    <w:rsid w:val="004704FF"/>
    <w:rsid w:val="00485627"/>
    <w:rsid w:val="00492EA8"/>
    <w:rsid w:val="004A2C6F"/>
    <w:rsid w:val="004A39A1"/>
    <w:rsid w:val="004B2ABE"/>
    <w:rsid w:val="004B3DC9"/>
    <w:rsid w:val="004B4B3C"/>
    <w:rsid w:val="004C16B0"/>
    <w:rsid w:val="004C626E"/>
    <w:rsid w:val="004D0669"/>
    <w:rsid w:val="004D272C"/>
    <w:rsid w:val="004D2B8C"/>
    <w:rsid w:val="004D4723"/>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5880"/>
    <w:rsid w:val="005D0A89"/>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6BE6"/>
    <w:rsid w:val="00640DE0"/>
    <w:rsid w:val="00643F46"/>
    <w:rsid w:val="006461EA"/>
    <w:rsid w:val="00647FAB"/>
    <w:rsid w:val="0065074D"/>
    <w:rsid w:val="00650F39"/>
    <w:rsid w:val="00651F24"/>
    <w:rsid w:val="006524E5"/>
    <w:rsid w:val="00655F12"/>
    <w:rsid w:val="00656E14"/>
    <w:rsid w:val="00672D21"/>
    <w:rsid w:val="00674D12"/>
    <w:rsid w:val="006948FB"/>
    <w:rsid w:val="006A2878"/>
    <w:rsid w:val="006A357D"/>
    <w:rsid w:val="006A4877"/>
    <w:rsid w:val="006A57DC"/>
    <w:rsid w:val="006A67F0"/>
    <w:rsid w:val="006A77BD"/>
    <w:rsid w:val="006A7991"/>
    <w:rsid w:val="006B1803"/>
    <w:rsid w:val="006B4454"/>
    <w:rsid w:val="006C00B4"/>
    <w:rsid w:val="006C0A41"/>
    <w:rsid w:val="006C0A75"/>
    <w:rsid w:val="006C5E01"/>
    <w:rsid w:val="006D740E"/>
    <w:rsid w:val="006F0122"/>
    <w:rsid w:val="006F1087"/>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A0E"/>
    <w:rsid w:val="0080680C"/>
    <w:rsid w:val="008075A8"/>
    <w:rsid w:val="008117C8"/>
    <w:rsid w:val="008222C3"/>
    <w:rsid w:val="00824F87"/>
    <w:rsid w:val="008306A7"/>
    <w:rsid w:val="0083260C"/>
    <w:rsid w:val="00832D21"/>
    <w:rsid w:val="00832F59"/>
    <w:rsid w:val="008345BA"/>
    <w:rsid w:val="008409F5"/>
    <w:rsid w:val="00840B1F"/>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7090"/>
    <w:rsid w:val="009377EA"/>
    <w:rsid w:val="0094665D"/>
    <w:rsid w:val="00953FCD"/>
    <w:rsid w:val="009546EB"/>
    <w:rsid w:val="009550AF"/>
    <w:rsid w:val="00957495"/>
    <w:rsid w:val="00960D82"/>
    <w:rsid w:val="00961537"/>
    <w:rsid w:val="0096339A"/>
    <w:rsid w:val="009641B1"/>
    <w:rsid w:val="00977766"/>
    <w:rsid w:val="009806B6"/>
    <w:rsid w:val="009943F7"/>
    <w:rsid w:val="00996912"/>
    <w:rsid w:val="009A0EA7"/>
    <w:rsid w:val="009A4F56"/>
    <w:rsid w:val="009A5E85"/>
    <w:rsid w:val="009A6637"/>
    <w:rsid w:val="009A66FE"/>
    <w:rsid w:val="009A698C"/>
    <w:rsid w:val="009A7AD3"/>
    <w:rsid w:val="009B0522"/>
    <w:rsid w:val="009B1E3D"/>
    <w:rsid w:val="009B5A50"/>
    <w:rsid w:val="009C26A8"/>
    <w:rsid w:val="009C7889"/>
    <w:rsid w:val="009D1D53"/>
    <w:rsid w:val="009D320A"/>
    <w:rsid w:val="009D5B37"/>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81623"/>
    <w:rsid w:val="00A840FF"/>
    <w:rsid w:val="00A85ACF"/>
    <w:rsid w:val="00A86AE7"/>
    <w:rsid w:val="00A929C5"/>
    <w:rsid w:val="00A92AE4"/>
    <w:rsid w:val="00A952CE"/>
    <w:rsid w:val="00A963DA"/>
    <w:rsid w:val="00AA02FD"/>
    <w:rsid w:val="00AA06FD"/>
    <w:rsid w:val="00AA070B"/>
    <w:rsid w:val="00AA49E7"/>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3D8A"/>
    <w:rsid w:val="00BA4845"/>
    <w:rsid w:val="00BB22CC"/>
    <w:rsid w:val="00BB51C7"/>
    <w:rsid w:val="00BB5A03"/>
    <w:rsid w:val="00BC030A"/>
    <w:rsid w:val="00BC6F33"/>
    <w:rsid w:val="00BD452B"/>
    <w:rsid w:val="00BD643B"/>
    <w:rsid w:val="00BE34A8"/>
    <w:rsid w:val="00BE35A0"/>
    <w:rsid w:val="00BF3777"/>
    <w:rsid w:val="00BF721F"/>
    <w:rsid w:val="00C05C6B"/>
    <w:rsid w:val="00C07B56"/>
    <w:rsid w:val="00C100EA"/>
    <w:rsid w:val="00C12829"/>
    <w:rsid w:val="00C156B6"/>
    <w:rsid w:val="00C16E52"/>
    <w:rsid w:val="00C2261D"/>
    <w:rsid w:val="00C22ED1"/>
    <w:rsid w:val="00C2460B"/>
    <w:rsid w:val="00C2729F"/>
    <w:rsid w:val="00C2751B"/>
    <w:rsid w:val="00C31012"/>
    <w:rsid w:val="00C32F6C"/>
    <w:rsid w:val="00C330C3"/>
    <w:rsid w:val="00C335DA"/>
    <w:rsid w:val="00C4169B"/>
    <w:rsid w:val="00C42F75"/>
    <w:rsid w:val="00C44422"/>
    <w:rsid w:val="00C4747F"/>
    <w:rsid w:val="00C51C7E"/>
    <w:rsid w:val="00C52AB7"/>
    <w:rsid w:val="00C53E85"/>
    <w:rsid w:val="00C62FEC"/>
    <w:rsid w:val="00C65E89"/>
    <w:rsid w:val="00C660BD"/>
    <w:rsid w:val="00C663C8"/>
    <w:rsid w:val="00C66B92"/>
    <w:rsid w:val="00C70663"/>
    <w:rsid w:val="00C70852"/>
    <w:rsid w:val="00C71398"/>
    <w:rsid w:val="00C71655"/>
    <w:rsid w:val="00C77EA1"/>
    <w:rsid w:val="00C8188B"/>
    <w:rsid w:val="00C82CFF"/>
    <w:rsid w:val="00C85012"/>
    <w:rsid w:val="00C97BC7"/>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70274"/>
    <w:rsid w:val="00D70A75"/>
    <w:rsid w:val="00D72E14"/>
    <w:rsid w:val="00D7364B"/>
    <w:rsid w:val="00D74672"/>
    <w:rsid w:val="00D769F6"/>
    <w:rsid w:val="00D87C80"/>
    <w:rsid w:val="00D94CB0"/>
    <w:rsid w:val="00D95C8E"/>
    <w:rsid w:val="00D96220"/>
    <w:rsid w:val="00DA7370"/>
    <w:rsid w:val="00DA7DFB"/>
    <w:rsid w:val="00DB454A"/>
    <w:rsid w:val="00DC598C"/>
    <w:rsid w:val="00DD0965"/>
    <w:rsid w:val="00DD0CF2"/>
    <w:rsid w:val="00DD57EC"/>
    <w:rsid w:val="00DD5E3A"/>
    <w:rsid w:val="00DD5E95"/>
    <w:rsid w:val="00DD5EC3"/>
    <w:rsid w:val="00DF1A93"/>
    <w:rsid w:val="00DF20B2"/>
    <w:rsid w:val="00DF68B7"/>
    <w:rsid w:val="00E00CFE"/>
    <w:rsid w:val="00E03B82"/>
    <w:rsid w:val="00E072FE"/>
    <w:rsid w:val="00E07469"/>
    <w:rsid w:val="00E14035"/>
    <w:rsid w:val="00E174AA"/>
    <w:rsid w:val="00E20B3C"/>
    <w:rsid w:val="00E2427A"/>
    <w:rsid w:val="00E249BA"/>
    <w:rsid w:val="00E25D94"/>
    <w:rsid w:val="00E309D6"/>
    <w:rsid w:val="00E37288"/>
    <w:rsid w:val="00E40B6D"/>
    <w:rsid w:val="00E42681"/>
    <w:rsid w:val="00E46A70"/>
    <w:rsid w:val="00E46F71"/>
    <w:rsid w:val="00E50124"/>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A08AA"/>
    <w:rsid w:val="00EA4A67"/>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98E"/>
    <w:rsid w:val="00F027A4"/>
    <w:rsid w:val="00F10419"/>
    <w:rsid w:val="00F14B16"/>
    <w:rsid w:val="00F15A22"/>
    <w:rsid w:val="00F23C5D"/>
    <w:rsid w:val="00F24BA3"/>
    <w:rsid w:val="00F251A3"/>
    <w:rsid w:val="00F346D7"/>
    <w:rsid w:val="00F37521"/>
    <w:rsid w:val="00F41B94"/>
    <w:rsid w:val="00F43087"/>
    <w:rsid w:val="00F54098"/>
    <w:rsid w:val="00F5586A"/>
    <w:rsid w:val="00F6156E"/>
    <w:rsid w:val="00F62C5B"/>
    <w:rsid w:val="00F71A0E"/>
    <w:rsid w:val="00F84704"/>
    <w:rsid w:val="00F86912"/>
    <w:rsid w:val="00F86A0D"/>
    <w:rsid w:val="00F902D6"/>
    <w:rsid w:val="00F90BB1"/>
    <w:rsid w:val="00F94CF8"/>
    <w:rsid w:val="00FA4E2F"/>
    <w:rsid w:val="00FA787B"/>
    <w:rsid w:val="00FC1DCC"/>
    <w:rsid w:val="00FC277F"/>
    <w:rsid w:val="00FC7AAB"/>
    <w:rsid w:val="00FD5BE0"/>
    <w:rsid w:val="00FD7563"/>
    <w:rsid w:val="00FE2312"/>
    <w:rsid w:val="00FE290A"/>
    <w:rsid w:val="00FE3070"/>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670836535">
      <w:bodyDiv w:val="1"/>
      <w:marLeft w:val="0"/>
      <w:marRight w:val="0"/>
      <w:marTop w:val="0"/>
      <w:marBottom w:val="0"/>
      <w:divBdr>
        <w:top w:val="none" w:sz="0" w:space="0" w:color="auto"/>
        <w:left w:val="none" w:sz="0" w:space="0" w:color="auto"/>
        <w:bottom w:val="none" w:sz="0" w:space="0" w:color="auto"/>
        <w:right w:val="none" w:sz="0" w:space="0" w:color="auto"/>
      </w:divBdr>
    </w:div>
    <w:div w:id="113209652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620182348">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Action_x0020_With xmlns="c712b3fb-dfa4-408d-ba67-c014ff684e9a">Public</Action_x0020_With>
    <Security_x0020_Classification xmlns="336dc6f7-e858-42a6-bc18-5509d747a3d8">Public</Security_x0020_Classification>
    <V xmlns="c712b3fb-dfa4-408d-ba67-c014ff684e9a">1.1</V>
    <Archive xmlns="c712b3fb-dfa4-408d-ba67-c014ff684e9a">false</Archive>
    <_DCDateModified xmlns="http://schemas.microsoft.com/sharepoint/v3/fields" xsi:nil="true"/>
    <Doc_x0020_Number xmlns="336dc6f7-e858-42a6-bc18-5509d747a3d8">DEL2838</Doc_x0020_Number>
    <CR xmlns="c712b3fb-dfa4-408d-ba67-c014ff684e9a">CR053</CR>
    <Short_x0020_Name xmlns="336dc6f7-e858-42a6-bc18-5509d747a3d8">CR053 Change Request</Short_x0020_Name>
    <Word_x0020_Doc_x0020__x002d__x0020_Temp xmlns="c712b3fb-dfa4-408d-ba67-c014ff684e9a">false</Word_x0020_Doc_x0020__x002d__x0020_Temp>
    <Theme xmlns="c712b3fb-dfa4-408d-ba67-c014ff684e9a">Request Forms</Theme>
    <Sub_x0020_Type xmlns="c712b3fb-dfa4-408d-ba67-c014ff684e9a">Change Request</Sub_x0020_Type>
  </documentManagement>
</p:properties>
</file>

<file path=customXml/itemProps1.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2.xml><?xml version="1.0" encoding="utf-8"?>
<ds:datastoreItem xmlns:ds="http://schemas.openxmlformats.org/officeDocument/2006/customXml" ds:itemID="{4B0851B2-AA01-460C-93CA-7B26EB58F342}"/>
</file>

<file path=customXml/itemProps3.xml><?xml version="1.0" encoding="utf-8"?>
<ds:datastoreItem xmlns:ds="http://schemas.openxmlformats.org/officeDocument/2006/customXml" ds:itemID="{43C84942-993D-4712-9FB2-680E7CCAA576}">
  <ds:schemaRefs>
    <ds:schemaRef ds:uri="http://schemas.openxmlformats.org/officeDocument/2006/bibliography"/>
  </ds:schemaRefs>
</ds:datastoreItem>
</file>

<file path=customXml/itemProps4.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336dc6f7-e858-42a6-bc18-5509d747a3d8"/>
    <ds:schemaRef ds:uri="c712b3fb-dfa4-408d-ba67-c014ff684e9a"/>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15492</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3</cp:revision>
  <dcterms:created xsi:type="dcterms:W3CDTF">2024-06-25T15:14:00Z</dcterms:created>
  <dcterms:modified xsi:type="dcterms:W3CDTF">2024-06-25T15:20:00Z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